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791CF2"/>
          <w:sz w:val="20"/>
          <w:szCs w:val="20"/>
        </w:rPr>
        <w:t xml:space="preserve">rseexpertcomptable.fr by Intersektion</w:t>
      </w:r>
    </w:p>
    <w:p>
      <w:pPr>
        <w:spacing w:after="120"/>
      </w:pPr>
      <w:r>
        <w:rPr>
          <w:b/>
          <w:bCs/>
          <w:color w:val="131A53"/>
          <w:sz w:val="40"/>
          <w:szCs w:val="40"/>
        </w:rPr>
        <w:t xml:space="preserve">Kit mission RSE pour cabinet d'expertise comptable</w:t>
      </w:r>
    </w:p>
    <w:p>
      <w:pPr>
        <w:spacing w:after="120"/>
      </w:pPr>
      <w:r>
        <w:t xml:space="preserve">1. Trame de lettre de mission RSE / durabilité · 2. Questionnaire de diagnostic client (24 questions) · Version du 30 octobre 2026</w:t>
      </w:r>
    </w:p>
    <w:p>
      <w:pPr>
        <w:pBdr>
          <w:left w:val="single" w:color="791CF2" w:sz="18" w:space="8"/>
        </w:pBdr>
        <w:shd w:fill="F1EAFE" w:color="auto" w:val="clear"/>
        <w:spacing w:after="200" w:before="120"/>
      </w:pPr>
      <w:r>
        <w:rPr>
          <w:b/>
          <w:bCs/>
        </w:rPr>
        <w:t xml:space="preserve">Avertissement. </w:t>
      </w:r>
      <w:r>
        <w:t xml:space="preserve">Ce document est une trame de travail, pas un modèle validé par l'Ordre des experts-comptables. Il doit être adapté avec le cadre déontologique de l'Ordre (code de déontologie, cadre de référence des missions, normes professionnelles applicables), avec les conditions de votre assurance responsabilité civile professionnelle et, si besoin, avec votre conseil juridique. Les passages en violet sont à compléter. Aucun montant d'honoraires n'est proposé.</w:t>
      </w:r>
    </w:p>
    <w:p>
      <w:pPr>
        <w:pStyle w:val="Heading1"/>
      </w:pPr>
      <w:r>
        <w:t xml:space="preserve">Partie 1. Trame de lettre de mission RSE</w:t>
      </w:r>
    </w:p>
    <w:p>
      <w:pPr>
        <w:spacing w:after="120"/>
      </w:pPr>
      <w:r>
        <w:t xml:space="preserve">Objet : mission d'accompagnement en matière de responsabilité sociétale (RSE) et d'information de durabilité de la société </w:t>
      </w:r>
      <w:r>
        <w:rPr>
          <w:i/>
          <w:iCs/>
          <w:color w:val="791CF2"/>
        </w:rPr>
        <w:t xml:space="preserve">[raison sociale]</w:t>
      </w:r>
      <w:r>
        <w:t xml:space="preserve">.</w:t>
      </w:r>
    </w:p>
    <w:p>
      <w:pPr>
        <w:pStyle w:val="Heading2"/>
      </w:pPr>
      <w:r>
        <w:t xml:space="preserve">1. Parties et contexte</w:t>
      </w:r>
    </w:p>
    <w:p>
      <w:pPr>
        <w:spacing w:after="120"/>
      </w:pPr>
      <w:r>
        <w:t xml:space="preserve">Entre le cabinet </w:t>
      </w:r>
      <w:r>
        <w:rPr>
          <w:i/>
          <w:iCs/>
          <w:color w:val="791CF2"/>
        </w:rPr>
        <w:t xml:space="preserve">[nom du cabinet, n° d'inscription au tableau de l'Ordre]</w:t>
      </w:r>
      <w:r>
        <w:t xml:space="preserve">, représenté par </w:t>
      </w:r>
      <w:r>
        <w:rPr>
          <w:i/>
          <w:iCs/>
          <w:color w:val="791CF2"/>
        </w:rPr>
        <w:t xml:space="preserve">[expert-comptable responsable de la mission]</w:t>
      </w:r>
      <w:r>
        <w:t xml:space="preserve">, et la société </w:t>
      </w:r>
      <w:r>
        <w:rPr>
          <w:i/>
          <w:iCs/>
          <w:color w:val="791CF2"/>
        </w:rPr>
        <w:t xml:space="preserve">[raison sociale, SIREN, représentant]</w:t>
      </w:r>
      <w:r>
        <w:t xml:space="preserve">.</w:t>
      </w:r>
    </w:p>
    <w:p>
      <w:pPr>
        <w:spacing w:after="120"/>
      </w:pPr>
      <w:r>
        <w:t xml:space="preserve">Contexte de la demande : </w:t>
      </w:r>
      <w:r>
        <w:rPr>
          <w:i/>
          <w:iCs/>
          <w:color w:val="791CF2"/>
        </w:rPr>
        <w:t xml:space="preserve">[ex. questionnaire RSE d'un donneur d'ordres reçu le …, appel d'offres public, demande bancaire, démarche volontaire]</w:t>
      </w:r>
      <w:r>
        <w:t xml:space="preserve">.</w:t>
      </w:r>
    </w:p>
    <w:p>
      <w:pPr>
        <w:pStyle w:val="Heading2"/>
      </w:pPr>
      <w:r>
        <w:t xml:space="preserve">2. Nature de la mission</w:t>
      </w:r>
    </w:p>
    <w:p>
      <w:pPr>
        <w:spacing w:after="120"/>
      </w:pPr>
      <w:r>
        <w:t xml:space="preserve">La mission est une mission de conseil et d'accompagnement. Elle ne constitue ni un audit, ni un examen limité, ni une certification des informations de durabilité au sens de la directive CSRD et du Code de commerce. Elle ne donne lieu à l'expression d'aucune assurance sur les informations produites, sauf mission distincte formalisée par une lettre de mission spécifique et conforme aux normes professionnelles applicables.</w:t>
      </w:r>
    </w:p>
    <w:p>
      <w:pPr>
        <w:spacing w:after="120"/>
      </w:pPr>
      <w:r>
        <w:rPr>
          <w:i/>
          <w:iCs/>
          <w:color w:val="791CF2"/>
        </w:rPr>
        <w:t xml:space="preserve">[À adapter : rattachement de la mission au cadre de référence des missions de l'Ordre (« autres prestations » ou autre catégorie), selon l'analyse du cabinet.]</w:t>
      </w:r>
    </w:p>
    <w:p>
      <w:pPr>
        <w:pStyle w:val="Heading2"/>
      </w:pPr>
      <w:r>
        <w:t xml:space="preserve">3. Périmètre</w:t>
      </w:r>
    </w:p>
    <w:p>
      <w:pPr>
        <w:spacing w:after="120"/>
      </w:pPr>
      <w:r>
        <w:t xml:space="preserve">Cocher et préciser les modules retenus :</w:t>
      </w:r>
    </w:p>
    <w:p>
      <w:pPr>
        <w:spacing w:after="60"/>
        <w:ind w:left="400"/>
      </w:pPr>
      <w:r>
        <w:t xml:space="preserve">☐ Diagnostic RSE initial (questionnaire, entretien avec la direction, revue documentaire)</w:t>
      </w:r>
    </w:p>
    <w:p>
      <w:pPr>
        <w:spacing w:after="60"/>
        <w:ind w:left="400"/>
      </w:pPr>
      <w:r>
        <w:t xml:space="preserve">☐ Réponse accompagnée à un questionnaire client ou à une plateforme d'évaluation (préciser laquelle)</w:t>
      </w:r>
    </w:p>
    <w:p>
      <w:pPr>
        <w:spacing w:after="60"/>
        <w:ind w:left="400"/>
      </w:pPr>
      <w:r>
        <w:t xml:space="preserve">☐ Rapport de durabilité volontaire selon la norme volontaire européenne (VSME) : module de base / module complet</w:t>
      </w:r>
    </w:p>
    <w:p>
      <w:pPr>
        <w:spacing w:after="60"/>
        <w:ind w:left="400"/>
      </w:pPr>
      <w:r>
        <w:t xml:space="preserve">☐ Estimation de l'empreinte carbone (préciser la méthode, le périmètre et l'année de référence)</w:t>
      </w:r>
    </w:p>
    <w:p>
      <w:pPr>
        <w:spacing w:after="60"/>
        <w:ind w:left="400"/>
      </w:pPr>
      <w:r>
        <w:t xml:space="preserve">☐ Note ou mémoire environnemental pour les appels d'offres</w:t>
      </w:r>
    </w:p>
    <w:p>
      <w:pPr>
        <w:spacing w:after="60"/>
        <w:ind w:left="400"/>
      </w:pPr>
      <w:r>
        <w:t xml:space="preserve">☐ Tableau de bord d'indicateurs et mise à jour annuelle</w:t>
      </w:r>
    </w:p>
    <w:p>
      <w:pPr>
        <w:spacing w:after="60"/>
        <w:ind w:left="400"/>
      </w:pPr>
      <w:r>
        <w:t xml:space="preserve">☐ Autre : </w:t>
      </w:r>
    </w:p>
    <w:p>
      <w:pPr>
        <w:spacing w:after="120"/>
      </w:pPr>
      <w:r>
        <w:t xml:space="preserve">Périmètre organisationnel : </w:t>
      </w:r>
      <w:r>
        <w:rPr>
          <w:i/>
          <w:iCs/>
          <w:color w:val="791CF2"/>
        </w:rPr>
        <w:t xml:space="preserve">[entités, sites, établissements couverts]</w:t>
      </w:r>
      <w:r>
        <w:t xml:space="preserve">. Exercice de référence : </w:t>
      </w:r>
      <w:r>
        <w:rPr>
          <w:i/>
          <w:iCs/>
          <w:color w:val="791CF2"/>
        </w:rPr>
        <w:t xml:space="preserve">[du … au …]</w:t>
      </w:r>
      <w:r>
        <w:t xml:space="preserve">.</w:t>
      </w:r>
    </w:p>
    <w:p>
      <w:pPr>
        <w:spacing w:after="120"/>
      </w:pPr>
      <w:r>
        <w:t xml:space="preserve">Sont exclus du périmètre, sauf avenant : la certification ou vérification par un tiers, la réalisation de mesures sur site, le conseil juridique sur des obligations réglementaires spécifiques, et toute communication commerciale ou publicitaire.</w:t>
      </w:r>
    </w:p>
    <w:p>
      <w:pPr>
        <w:pStyle w:val="Heading2"/>
      </w:pPr>
      <w:r>
        <w:t xml:space="preserve">4. Livrables et calendrier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426"/>
        <w:gridCol w:w="1800"/>
        <w:gridCol w:w="1800"/>
      </w:tblGrid>
      <w:tr>
        <w:trPr>
          <w:tblHeader/>
        </w:trPr>
        <w:tc>
          <w:tcPr>
            <w:tcW w:type="dxa" w:w="2000"/>
            <w:shd w:fill="131A53" w:color="auto" w:val="clear"/>
            <w:tcMar>
              <w:top w:type="dxa" w:w="80"/>
              <w:left w:type="dxa" w:w="100"/>
              <w:bottom w:type="dxa" w:w="80"/>
              <w:right w:type="dxa" w:w="100"/>
            </w:tcMar>
          </w:tcPr>
          <w:p>
            <w:r>
              <w:rPr>
                <w:b/>
                <w:bCs/>
                <w:color w:val="FFFFFF"/>
                <w:sz w:val="19"/>
                <w:szCs w:val="19"/>
              </w:rPr>
              <w:t xml:space="preserve">Livrable</w:t>
            </w:r>
          </w:p>
        </w:tc>
        <w:tc>
          <w:tcPr>
            <w:tcW w:type="dxa" w:w="3426"/>
            <w:shd w:fill="131A53" w:color="auto" w:val="clear"/>
            <w:tcMar>
              <w:top w:type="dxa" w:w="80"/>
              <w:left w:type="dxa" w:w="100"/>
              <w:bottom w:type="dxa" w:w="80"/>
              <w:right w:type="dxa" w:w="100"/>
            </w:tcMar>
          </w:tcPr>
          <w:p>
            <w:r>
              <w:rPr>
                <w:b/>
                <w:bCs/>
                <w:color w:val="FFFFFF"/>
                <w:sz w:val="19"/>
                <w:szCs w:val="19"/>
              </w:rPr>
              <w:t xml:space="preserve">Contenu</w:t>
            </w:r>
          </w:p>
        </w:tc>
        <w:tc>
          <w:tcPr>
            <w:tcW w:type="dxa" w:w="1800"/>
            <w:shd w:fill="131A53" w:color="auto" w:val="clear"/>
            <w:tcMar>
              <w:top w:type="dxa" w:w="80"/>
              <w:left w:type="dxa" w:w="100"/>
              <w:bottom w:type="dxa" w:w="80"/>
              <w:right w:type="dxa" w:w="100"/>
            </w:tcMar>
          </w:tcPr>
          <w:p>
            <w:r>
              <w:rPr>
                <w:b/>
                <w:bCs/>
                <w:color w:val="FFFFFF"/>
                <w:sz w:val="19"/>
                <w:szCs w:val="19"/>
              </w:rPr>
              <w:t xml:space="preserve">Format</w:t>
            </w:r>
          </w:p>
        </w:tc>
        <w:tc>
          <w:tcPr>
            <w:tcW w:type="dxa" w:w="1800"/>
            <w:shd w:fill="131A53" w:color="auto" w:val="clear"/>
            <w:tcMar>
              <w:top w:type="dxa" w:w="80"/>
              <w:left w:type="dxa" w:w="100"/>
              <w:bottom w:type="dxa" w:w="80"/>
              <w:right w:type="dxa" w:w="100"/>
            </w:tcMar>
          </w:tcPr>
          <w:p>
            <w:r>
              <w:rPr>
                <w:b/>
                <w:bCs/>
                <w:color w:val="FFFFFF"/>
                <w:sz w:val="19"/>
                <w:szCs w:val="19"/>
              </w:rPr>
              <w:t xml:space="preserve">Date prévue</w:t>
            </w:r>
          </w:p>
        </w:tc>
      </w:tr>
      <w:tr>
        <w:trPr>
          <w:tblHeader w:val="off"/>
        </w:trPr>
        <w:tc>
          <w:tcPr>
            <w:tcW w:type="dxa" w:w="2000"/>
            <w:tcMar>
              <w:top w:type="dxa" w:w="80"/>
              <w:left w:type="dxa" w:w="100"/>
              <w:bottom w:type="dxa" w:w="80"/>
              <w:right w:type="dxa" w:w="100"/>
            </w:tcMar>
          </w:tcPr>
          <w:p>
            <w:r>
              <w:rPr>
                <w:b w:val="false"/>
                <w:bCs w:val="false"/>
                <w:sz w:val="19"/>
                <w:szCs w:val="19"/>
              </w:rPr>
              <w:t xml:space="preserve">Note de cadrage</w:t>
            </w:r>
          </w:p>
        </w:tc>
        <w:tc>
          <w:tcPr>
            <w:tcW w:type="dxa" w:w="3426"/>
            <w:tcMar>
              <w:top w:type="dxa" w:w="80"/>
              <w:left w:type="dxa" w:w="100"/>
              <w:bottom w:type="dxa" w:w="80"/>
              <w:right w:type="dxa" w:w="100"/>
            </w:tcMar>
          </w:tcPr>
          <w:p>
            <w:r>
              <w:rPr>
                <w:b w:val="false"/>
                <w:bCs w:val="false"/>
                <w:sz w:val="19"/>
                <w:szCs w:val="19"/>
              </w:rPr>
              <w:t xml:space="preserve">Objectifs, périmètre, interlocuteurs, liste des données</w:t>
            </w:r>
          </w:p>
        </w:tc>
        <w:tc>
          <w:tcPr>
            <w:tcW w:type="dxa" w:w="1800"/>
            <w:tcMar>
              <w:top w:type="dxa" w:w="80"/>
              <w:left w:type="dxa" w:w="100"/>
              <w:bottom w:type="dxa" w:w="80"/>
              <w:right w:type="dxa" w:w="100"/>
            </w:tcMar>
          </w:tcPr>
          <w:p>
            <w:r>
              <w:rPr>
                <w:b w:val="false"/>
                <w:bCs w:val="false"/>
                <w:sz w:val="19"/>
                <w:szCs w:val="19"/>
              </w:rPr>
              <w:t xml:space="preserve">PDF</w:t>
            </w:r>
          </w:p>
        </w:tc>
        <w:tc>
          <w:tcPr>
            <w:tcW w:type="dxa" w:w="1800"/>
            <w:tcMar>
              <w:top w:type="dxa" w:w="80"/>
              <w:left w:type="dxa" w:w="100"/>
              <w:bottom w:type="dxa" w:w="80"/>
              <w:right w:type="dxa" w:w="100"/>
            </w:tcMar>
          </w:tcPr>
          <w:p>
            <w:r>
              <w:rPr>
                <w:b w:val="false"/>
                <w:bCs w:val="false"/>
                <w:sz w:val="19"/>
                <w:szCs w:val="19"/>
              </w:rPr>
              <w:t xml:space="preserve">[ ]</w:t>
            </w:r>
          </w:p>
        </w:tc>
      </w:tr>
      <w:tr>
        <w:trPr>
          <w:tblHeader w:val="off"/>
        </w:trPr>
        <w:tc>
          <w:tcPr>
            <w:tcW w:type="dxa" w:w="2000"/>
            <w:tcMar>
              <w:top w:type="dxa" w:w="80"/>
              <w:left w:type="dxa" w:w="100"/>
              <w:bottom w:type="dxa" w:w="80"/>
              <w:right w:type="dxa" w:w="100"/>
            </w:tcMar>
          </w:tcPr>
          <w:p>
            <w:r>
              <w:rPr>
                <w:b w:val="false"/>
                <w:bCs w:val="false"/>
                <w:sz w:val="19"/>
                <w:szCs w:val="19"/>
              </w:rPr>
              <w:t xml:space="preserve">Rapport de diagnostic</w:t>
            </w:r>
          </w:p>
        </w:tc>
        <w:tc>
          <w:tcPr>
            <w:tcW w:type="dxa" w:w="3426"/>
            <w:tcMar>
              <w:top w:type="dxa" w:w="80"/>
              <w:left w:type="dxa" w:w="100"/>
              <w:bottom w:type="dxa" w:w="80"/>
              <w:right w:type="dxa" w:w="100"/>
            </w:tcMar>
          </w:tcPr>
          <w:p>
            <w:r>
              <w:rPr>
                <w:b w:val="false"/>
                <w:bCs w:val="false"/>
                <w:sz w:val="19"/>
                <w:szCs w:val="19"/>
              </w:rPr>
              <w:t xml:space="preserve">État des lieux, écarts, priorités</w:t>
            </w:r>
          </w:p>
        </w:tc>
        <w:tc>
          <w:tcPr>
            <w:tcW w:type="dxa" w:w="1800"/>
            <w:tcMar>
              <w:top w:type="dxa" w:w="80"/>
              <w:left w:type="dxa" w:w="100"/>
              <w:bottom w:type="dxa" w:w="80"/>
              <w:right w:type="dxa" w:w="100"/>
            </w:tcMar>
          </w:tcPr>
          <w:p>
            <w:r>
              <w:rPr>
                <w:b w:val="false"/>
                <w:bCs w:val="false"/>
                <w:sz w:val="19"/>
                <w:szCs w:val="19"/>
              </w:rPr>
              <w:t xml:space="preserve">PDF</w:t>
            </w:r>
          </w:p>
        </w:tc>
        <w:tc>
          <w:tcPr>
            <w:tcW w:type="dxa" w:w="1800"/>
            <w:tcMar>
              <w:top w:type="dxa" w:w="80"/>
              <w:left w:type="dxa" w:w="100"/>
              <w:bottom w:type="dxa" w:w="80"/>
              <w:right w:type="dxa" w:w="100"/>
            </w:tcMar>
          </w:tcPr>
          <w:p>
            <w:r>
              <w:rPr>
                <w:b w:val="false"/>
                <w:bCs w:val="false"/>
                <w:sz w:val="19"/>
                <w:szCs w:val="19"/>
              </w:rPr>
              <w:t xml:space="preserve">[ ]</w:t>
            </w:r>
          </w:p>
        </w:tc>
      </w:tr>
      <w:tr>
        <w:trPr>
          <w:tblHeader w:val="off"/>
        </w:trPr>
        <w:tc>
          <w:tcPr>
            <w:tcW w:type="dxa" w:w="2000"/>
            <w:tcMar>
              <w:top w:type="dxa" w:w="80"/>
              <w:left w:type="dxa" w:w="100"/>
              <w:bottom w:type="dxa" w:w="80"/>
              <w:right w:type="dxa" w:w="100"/>
            </w:tcMar>
          </w:tcPr>
          <w:p>
            <w:r>
              <w:rPr>
                <w:b w:val="false"/>
                <w:bCs w:val="false"/>
                <w:sz w:val="19"/>
                <w:szCs w:val="19"/>
              </w:rPr>
              <w:t xml:space="preserve">Tableau des indicateurs</w:t>
            </w:r>
          </w:p>
        </w:tc>
        <w:tc>
          <w:tcPr>
            <w:tcW w:type="dxa" w:w="3426"/>
            <w:tcMar>
              <w:top w:type="dxa" w:w="80"/>
              <w:left w:type="dxa" w:w="100"/>
              <w:bottom w:type="dxa" w:w="80"/>
              <w:right w:type="dxa" w:w="100"/>
            </w:tcMar>
          </w:tcPr>
          <w:p>
            <w:r>
              <w:rPr>
                <w:b w:val="false"/>
                <w:bCs w:val="false"/>
                <w:sz w:val="19"/>
                <w:szCs w:val="19"/>
              </w:rPr>
              <w:t xml:space="preserve">Valeur, unité, méthode, source de chaque donnée</w:t>
            </w:r>
          </w:p>
        </w:tc>
        <w:tc>
          <w:tcPr>
            <w:tcW w:type="dxa" w:w="1800"/>
            <w:tcMar>
              <w:top w:type="dxa" w:w="80"/>
              <w:left w:type="dxa" w:w="100"/>
              <w:bottom w:type="dxa" w:w="80"/>
              <w:right w:type="dxa" w:w="100"/>
            </w:tcMar>
          </w:tcPr>
          <w:p>
            <w:r>
              <w:rPr>
                <w:b w:val="false"/>
                <w:bCs w:val="false"/>
                <w:sz w:val="19"/>
                <w:szCs w:val="19"/>
              </w:rPr>
              <w:t xml:space="preserve">Tableur ou outil</w:t>
            </w:r>
          </w:p>
        </w:tc>
        <w:tc>
          <w:tcPr>
            <w:tcW w:type="dxa" w:w="1800"/>
            <w:tcMar>
              <w:top w:type="dxa" w:w="80"/>
              <w:left w:type="dxa" w:w="100"/>
              <w:bottom w:type="dxa" w:w="80"/>
              <w:right w:type="dxa" w:w="100"/>
            </w:tcMar>
          </w:tcPr>
          <w:p>
            <w:r>
              <w:rPr>
                <w:b w:val="false"/>
                <w:bCs w:val="false"/>
                <w:sz w:val="19"/>
                <w:szCs w:val="19"/>
              </w:rPr>
              <w:t xml:space="preserve">[ ]</w:t>
            </w:r>
          </w:p>
        </w:tc>
      </w:tr>
      <w:tr>
        <w:trPr>
          <w:tblHeader w:val="off"/>
        </w:trPr>
        <w:tc>
          <w:tcPr>
            <w:tcW w:type="dxa" w:w="2000"/>
            <w:tcMar>
              <w:top w:type="dxa" w:w="80"/>
              <w:left w:type="dxa" w:w="100"/>
              <w:bottom w:type="dxa" w:w="80"/>
              <w:right w:type="dxa" w:w="100"/>
            </w:tcMar>
          </w:tcPr>
          <w:p>
            <w:r>
              <w:rPr>
                <w:b w:val="false"/>
                <w:bCs w:val="false"/>
                <w:sz w:val="19"/>
                <w:szCs w:val="19"/>
              </w:rPr>
              <w:t xml:space="preserve">Rapport VSME ou réponses</w:t>
            </w:r>
          </w:p>
        </w:tc>
        <w:tc>
          <w:tcPr>
            <w:tcW w:type="dxa" w:w="3426"/>
            <w:tcMar>
              <w:top w:type="dxa" w:w="80"/>
              <w:left w:type="dxa" w:w="100"/>
              <w:bottom w:type="dxa" w:w="80"/>
              <w:right w:type="dxa" w:w="100"/>
            </w:tcMar>
          </w:tcPr>
          <w:p>
            <w:r>
              <w:rPr>
                <w:b w:val="false"/>
                <w:bCs w:val="false"/>
                <w:sz w:val="19"/>
                <w:szCs w:val="19"/>
              </w:rPr>
              <w:t xml:space="preserve">Document final validé par la direction</w:t>
            </w:r>
          </w:p>
        </w:tc>
        <w:tc>
          <w:tcPr>
            <w:tcW w:type="dxa" w:w="1800"/>
            <w:tcMar>
              <w:top w:type="dxa" w:w="80"/>
              <w:left w:type="dxa" w:w="100"/>
              <w:bottom w:type="dxa" w:w="80"/>
              <w:right w:type="dxa" w:w="100"/>
            </w:tcMar>
          </w:tcPr>
          <w:p>
            <w:r>
              <w:rPr>
                <w:b w:val="false"/>
                <w:bCs w:val="false"/>
                <w:sz w:val="19"/>
                <w:szCs w:val="19"/>
              </w:rPr>
              <w:t xml:space="preserve">PDF / plateforme</w:t>
            </w:r>
          </w:p>
        </w:tc>
        <w:tc>
          <w:tcPr>
            <w:tcW w:type="dxa" w:w="1800"/>
            <w:tcMar>
              <w:top w:type="dxa" w:w="80"/>
              <w:left w:type="dxa" w:w="100"/>
              <w:bottom w:type="dxa" w:w="80"/>
              <w:right w:type="dxa" w:w="100"/>
            </w:tcMar>
          </w:tcPr>
          <w:p>
            <w:r>
              <w:rPr>
                <w:b w:val="false"/>
                <w:bCs w:val="false"/>
                <w:sz w:val="19"/>
                <w:szCs w:val="19"/>
              </w:rPr>
              <w:t xml:space="preserve">[ ]</w:t>
            </w:r>
          </w:p>
        </w:tc>
      </w:tr>
      <w:tr>
        <w:trPr>
          <w:tblHeader w:val="off"/>
        </w:trPr>
        <w:tc>
          <w:tcPr>
            <w:tcW w:type="dxa" w:w="2000"/>
            <w:tcMar>
              <w:top w:type="dxa" w:w="80"/>
              <w:left w:type="dxa" w:w="100"/>
              <w:bottom w:type="dxa" w:w="80"/>
              <w:right w:type="dxa" w:w="100"/>
            </w:tcMar>
          </w:tcPr>
          <w:p>
            <w:r>
              <w:rPr>
                <w:b w:val="false"/>
                <w:bCs w:val="false"/>
                <w:sz w:val="19"/>
                <w:szCs w:val="19"/>
              </w:rPr>
              <w:t xml:space="preserve">Point de restitution</w:t>
            </w:r>
          </w:p>
        </w:tc>
        <w:tc>
          <w:tcPr>
            <w:tcW w:type="dxa" w:w="3426"/>
            <w:tcMar>
              <w:top w:type="dxa" w:w="80"/>
              <w:left w:type="dxa" w:w="100"/>
              <w:bottom w:type="dxa" w:w="80"/>
              <w:right w:type="dxa" w:w="100"/>
            </w:tcMar>
          </w:tcPr>
          <w:p>
            <w:r>
              <w:rPr>
                <w:b w:val="false"/>
                <w:bCs w:val="false"/>
                <w:sz w:val="19"/>
                <w:szCs w:val="19"/>
              </w:rPr>
              <w:t xml:space="preserve">Présentation à la direction, plan d'action</w:t>
            </w:r>
          </w:p>
        </w:tc>
        <w:tc>
          <w:tcPr>
            <w:tcW w:type="dxa" w:w="1800"/>
            <w:tcMar>
              <w:top w:type="dxa" w:w="80"/>
              <w:left w:type="dxa" w:w="100"/>
              <w:bottom w:type="dxa" w:w="80"/>
              <w:right w:type="dxa" w:w="100"/>
            </w:tcMar>
          </w:tcPr>
          <w:p>
            <w:r>
              <w:rPr>
                <w:b w:val="false"/>
                <w:bCs w:val="false"/>
                <w:sz w:val="19"/>
                <w:szCs w:val="19"/>
              </w:rPr>
              <w:t xml:space="preserve">Réunion</w:t>
            </w:r>
          </w:p>
        </w:tc>
        <w:tc>
          <w:tcPr>
            <w:tcW w:type="dxa" w:w="1800"/>
            <w:tcMar>
              <w:top w:type="dxa" w:w="80"/>
              <w:left w:type="dxa" w:w="100"/>
              <w:bottom w:type="dxa" w:w="80"/>
              <w:right w:type="dxa" w:w="100"/>
            </w:tcMar>
          </w:tcPr>
          <w:p>
            <w:r>
              <w:rPr>
                <w:b w:val="false"/>
                <w:bCs w:val="false"/>
                <w:sz w:val="19"/>
                <w:szCs w:val="19"/>
              </w:rPr>
              <w:t xml:space="preserve">[ ]</w:t>
            </w:r>
          </w:p>
        </w:tc>
      </w:tr>
    </w:tbl>
    <w:p>
      <w:pPr>
        <w:pStyle w:val="Heading2"/>
      </w:pPr>
      <w:r>
        <w:t xml:space="preserve">5. Répartition des travaux</w:t>
      </w:r>
    </w:p>
    <w:p>
      <w:pPr>
        <w:spacing w:after="120"/>
      </w:pPr>
      <w:r>
        <w:t xml:space="preserve">Le client reste responsable des informations qu'il fournit, de leur exhaustivité et de leur sincérité, ainsi que du contenu final du rapport ou des réponses, qu'il valide et publie sous sa seule responsabilité. Il désigne un interlocuteur disponible et transmet les données dans les délais convenus.</w:t>
      </w:r>
    </w:p>
    <w:p>
      <w:pPr>
        <w:spacing w:after="120"/>
      </w:pPr>
      <w:r>
        <w:t xml:space="preserve">Le cabinet met en œuvre la méthode, structure la collecte, contrôle la cohérence des données qui lui sont transmises avec les informations comptables et sociales dont il dispose, et rédige les livrables.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826"/>
        <w:gridCol w:w="2100"/>
        <w:gridCol w:w="2100"/>
      </w:tblGrid>
      <w:tr>
        <w:trPr>
          <w:tblHeader/>
        </w:trPr>
        <w:tc>
          <w:tcPr>
            <w:tcW w:type="dxa" w:w="4826"/>
            <w:shd w:fill="131A53" w:color="auto" w:val="clear"/>
            <w:tcMar>
              <w:top w:type="dxa" w:w="80"/>
              <w:left w:type="dxa" w:w="100"/>
              <w:bottom w:type="dxa" w:w="80"/>
              <w:right w:type="dxa" w:w="100"/>
            </w:tcMar>
          </w:tcPr>
          <w:p>
            <w:r>
              <w:rPr>
                <w:b/>
                <w:bCs/>
                <w:color w:val="FFFFFF"/>
                <w:sz w:val="19"/>
                <w:szCs w:val="19"/>
              </w:rPr>
              <w:t xml:space="preserve">Tâche</w:t>
            </w:r>
          </w:p>
        </w:tc>
        <w:tc>
          <w:tcPr>
            <w:tcW w:type="dxa" w:w="2100"/>
            <w:shd w:fill="131A53" w:color="auto" w:val="clear"/>
            <w:tcMar>
              <w:top w:type="dxa" w:w="80"/>
              <w:left w:type="dxa" w:w="100"/>
              <w:bottom w:type="dxa" w:w="80"/>
              <w:right w:type="dxa" w:w="100"/>
            </w:tcMar>
          </w:tcPr>
          <w:p>
            <w:r>
              <w:rPr>
                <w:b/>
                <w:bCs/>
                <w:color w:val="FFFFFF"/>
                <w:sz w:val="19"/>
                <w:szCs w:val="19"/>
              </w:rPr>
              <w:t xml:space="preserve">Client</w:t>
            </w:r>
          </w:p>
        </w:tc>
        <w:tc>
          <w:tcPr>
            <w:tcW w:type="dxa" w:w="2100"/>
            <w:shd w:fill="131A53" w:color="auto" w:val="clear"/>
            <w:tcMar>
              <w:top w:type="dxa" w:w="80"/>
              <w:left w:type="dxa" w:w="100"/>
              <w:bottom w:type="dxa" w:w="80"/>
              <w:right w:type="dxa" w:w="100"/>
            </w:tcMar>
          </w:tcPr>
          <w:p>
            <w:r>
              <w:rPr>
                <w:b/>
                <w:bCs/>
                <w:color w:val="FFFFFF"/>
                <w:sz w:val="19"/>
                <w:szCs w:val="19"/>
              </w:rPr>
              <w:t xml:space="preserve">Cabinet</w:t>
            </w:r>
          </w:p>
        </w:tc>
      </w:tr>
      <w:tr>
        <w:trPr>
          <w:tblHeader w:val="off"/>
        </w:trPr>
        <w:tc>
          <w:tcPr>
            <w:tcW w:type="dxa" w:w="4826"/>
            <w:tcMar>
              <w:top w:type="dxa" w:w="80"/>
              <w:left w:type="dxa" w:w="100"/>
              <w:bottom w:type="dxa" w:w="80"/>
              <w:right w:type="dxa" w:w="100"/>
            </w:tcMar>
          </w:tcPr>
          <w:p>
            <w:r>
              <w:rPr>
                <w:b w:val="false"/>
                <w:bCs w:val="false"/>
                <w:sz w:val="19"/>
                <w:szCs w:val="19"/>
              </w:rPr>
              <w:t xml:space="preserve">Extraction des données comptables (FEC, balance)</w:t>
            </w:r>
          </w:p>
        </w:tc>
        <w:tc>
          <w:tcPr>
            <w:tcW w:type="dxa" w:w="2100"/>
            <w:tcMar>
              <w:top w:type="dxa" w:w="80"/>
              <w:left w:type="dxa" w:w="100"/>
              <w:bottom w:type="dxa" w:w="80"/>
              <w:right w:type="dxa" w:w="100"/>
            </w:tcMar>
          </w:tcPr>
          <w:p>
            <w:r>
              <w:rPr>
                <w:b w:val="false"/>
                <w:bCs w:val="false"/>
                <w:sz w:val="19"/>
                <w:szCs w:val="19"/>
              </w:rPr>
              <w:t xml:space="preserve">Valide</w:t>
            </w:r>
          </w:p>
        </w:tc>
        <w:tc>
          <w:tcPr>
            <w:tcW w:type="dxa" w:w="2100"/>
            <w:tcMar>
              <w:top w:type="dxa" w:w="80"/>
              <w:left w:type="dxa" w:w="100"/>
              <w:bottom w:type="dxa" w:w="80"/>
              <w:right w:type="dxa" w:w="100"/>
            </w:tcMar>
          </w:tcPr>
          <w:p>
            <w:r>
              <w:rPr>
                <w:b w:val="false"/>
                <w:bCs w:val="false"/>
                <w:sz w:val="19"/>
                <w:szCs w:val="19"/>
              </w:rPr>
              <w:t xml:space="preserve">Réalise</w:t>
            </w:r>
          </w:p>
        </w:tc>
      </w:tr>
      <w:tr>
        <w:trPr>
          <w:tblHeader w:val="off"/>
        </w:trPr>
        <w:tc>
          <w:tcPr>
            <w:tcW w:type="dxa" w:w="4826"/>
            <w:tcMar>
              <w:top w:type="dxa" w:w="80"/>
              <w:left w:type="dxa" w:w="100"/>
              <w:bottom w:type="dxa" w:w="80"/>
              <w:right w:type="dxa" w:w="100"/>
            </w:tcMar>
          </w:tcPr>
          <w:p>
            <w:r>
              <w:rPr>
                <w:b w:val="false"/>
                <w:bCs w:val="false"/>
                <w:sz w:val="19"/>
                <w:szCs w:val="19"/>
              </w:rPr>
              <w:t xml:space="preserve">Extraction des données sociales (DSN, registres)</w:t>
            </w:r>
          </w:p>
        </w:tc>
        <w:tc>
          <w:tcPr>
            <w:tcW w:type="dxa" w:w="2100"/>
            <w:tcMar>
              <w:top w:type="dxa" w:w="80"/>
              <w:left w:type="dxa" w:w="100"/>
              <w:bottom w:type="dxa" w:w="80"/>
              <w:right w:type="dxa" w:w="100"/>
            </w:tcMar>
          </w:tcPr>
          <w:p>
            <w:r>
              <w:rPr>
                <w:b w:val="false"/>
                <w:bCs w:val="false"/>
                <w:sz w:val="19"/>
                <w:szCs w:val="19"/>
              </w:rPr>
              <w:t xml:space="preserve">Fournit</w:t>
            </w:r>
          </w:p>
        </w:tc>
        <w:tc>
          <w:tcPr>
            <w:tcW w:type="dxa" w:w="2100"/>
            <w:tcMar>
              <w:top w:type="dxa" w:w="80"/>
              <w:left w:type="dxa" w:w="100"/>
              <w:bottom w:type="dxa" w:w="80"/>
              <w:right w:type="dxa" w:w="100"/>
            </w:tcMar>
          </w:tcPr>
          <w:p>
            <w:r>
              <w:rPr>
                <w:b w:val="false"/>
                <w:bCs w:val="false"/>
                <w:sz w:val="19"/>
                <w:szCs w:val="19"/>
              </w:rPr>
              <w:t xml:space="preserve">Exploite</w:t>
            </w:r>
          </w:p>
        </w:tc>
      </w:tr>
      <w:tr>
        <w:trPr>
          <w:tblHeader w:val="off"/>
        </w:trPr>
        <w:tc>
          <w:tcPr>
            <w:tcW w:type="dxa" w:w="4826"/>
            <w:tcMar>
              <w:top w:type="dxa" w:w="80"/>
              <w:left w:type="dxa" w:w="100"/>
              <w:bottom w:type="dxa" w:w="80"/>
              <w:right w:type="dxa" w:w="100"/>
            </w:tcMar>
          </w:tcPr>
          <w:p>
            <w:r>
              <w:rPr>
                <w:b w:val="false"/>
                <w:bCs w:val="false"/>
                <w:sz w:val="19"/>
                <w:szCs w:val="19"/>
              </w:rPr>
              <w:t xml:space="preserve">Données physiques (kWh, litres, déchets, km)</w:t>
            </w:r>
          </w:p>
        </w:tc>
        <w:tc>
          <w:tcPr>
            <w:tcW w:type="dxa" w:w="2100"/>
            <w:tcMar>
              <w:top w:type="dxa" w:w="80"/>
              <w:left w:type="dxa" w:w="100"/>
              <w:bottom w:type="dxa" w:w="80"/>
              <w:right w:type="dxa" w:w="100"/>
            </w:tcMar>
          </w:tcPr>
          <w:p>
            <w:r>
              <w:rPr>
                <w:b w:val="false"/>
                <w:bCs w:val="false"/>
                <w:sz w:val="19"/>
                <w:szCs w:val="19"/>
              </w:rPr>
              <w:t xml:space="preserve">Fournit</w:t>
            </w:r>
          </w:p>
        </w:tc>
        <w:tc>
          <w:tcPr>
            <w:tcW w:type="dxa" w:w="2100"/>
            <w:tcMar>
              <w:top w:type="dxa" w:w="80"/>
              <w:left w:type="dxa" w:w="100"/>
              <w:bottom w:type="dxa" w:w="80"/>
              <w:right w:type="dxa" w:w="100"/>
            </w:tcMar>
          </w:tcPr>
          <w:p>
            <w:r>
              <w:rPr>
                <w:b w:val="false"/>
                <w:bCs w:val="false"/>
                <w:sz w:val="19"/>
                <w:szCs w:val="19"/>
              </w:rPr>
              <w:t xml:space="preserve">Contrôle la cohérence</w:t>
            </w:r>
          </w:p>
        </w:tc>
      </w:tr>
      <w:tr>
        <w:trPr>
          <w:tblHeader w:val="off"/>
        </w:trPr>
        <w:tc>
          <w:tcPr>
            <w:tcW w:type="dxa" w:w="4826"/>
            <w:tcMar>
              <w:top w:type="dxa" w:w="80"/>
              <w:left w:type="dxa" w:w="100"/>
              <w:bottom w:type="dxa" w:w="80"/>
              <w:right w:type="dxa" w:w="100"/>
            </w:tcMar>
          </w:tcPr>
          <w:p>
            <w:r>
              <w:rPr>
                <w:b w:val="false"/>
                <w:bCs w:val="false"/>
                <w:sz w:val="19"/>
                <w:szCs w:val="19"/>
              </w:rPr>
              <w:t xml:space="preserve">Politiques, procédures, preuves</w:t>
            </w:r>
          </w:p>
        </w:tc>
        <w:tc>
          <w:tcPr>
            <w:tcW w:type="dxa" w:w="2100"/>
            <w:tcMar>
              <w:top w:type="dxa" w:w="80"/>
              <w:left w:type="dxa" w:w="100"/>
              <w:bottom w:type="dxa" w:w="80"/>
              <w:right w:type="dxa" w:w="100"/>
            </w:tcMar>
          </w:tcPr>
          <w:p>
            <w:r>
              <w:rPr>
                <w:b w:val="false"/>
                <w:bCs w:val="false"/>
                <w:sz w:val="19"/>
                <w:szCs w:val="19"/>
              </w:rPr>
              <w:t xml:space="preserve">Fournit</w:t>
            </w:r>
          </w:p>
        </w:tc>
        <w:tc>
          <w:tcPr>
            <w:tcW w:type="dxa" w:w="2100"/>
            <w:tcMar>
              <w:top w:type="dxa" w:w="80"/>
              <w:left w:type="dxa" w:w="100"/>
              <w:bottom w:type="dxa" w:w="80"/>
              <w:right w:type="dxa" w:w="100"/>
            </w:tcMar>
          </w:tcPr>
          <w:p>
            <w:r>
              <w:rPr>
                <w:b w:val="false"/>
                <w:bCs w:val="false"/>
                <w:sz w:val="19"/>
                <w:szCs w:val="19"/>
              </w:rPr>
              <w:t xml:space="preserve">Analyse</w:t>
            </w:r>
          </w:p>
        </w:tc>
      </w:tr>
      <w:tr>
        <w:trPr>
          <w:tblHeader w:val="off"/>
        </w:trPr>
        <w:tc>
          <w:tcPr>
            <w:tcW w:type="dxa" w:w="4826"/>
            <w:tcMar>
              <w:top w:type="dxa" w:w="80"/>
              <w:left w:type="dxa" w:w="100"/>
              <w:bottom w:type="dxa" w:w="80"/>
              <w:right w:type="dxa" w:w="100"/>
            </w:tcMar>
          </w:tcPr>
          <w:p>
            <w:r>
              <w:rPr>
                <w:b w:val="false"/>
                <w:bCs w:val="false"/>
                <w:sz w:val="19"/>
                <w:szCs w:val="19"/>
              </w:rPr>
              <w:t xml:space="preserve">Validation finale et publication</w:t>
            </w:r>
          </w:p>
        </w:tc>
        <w:tc>
          <w:tcPr>
            <w:tcW w:type="dxa" w:w="2100"/>
            <w:tcMar>
              <w:top w:type="dxa" w:w="80"/>
              <w:left w:type="dxa" w:w="100"/>
              <w:bottom w:type="dxa" w:w="80"/>
              <w:right w:type="dxa" w:w="100"/>
            </w:tcMar>
          </w:tcPr>
          <w:p>
            <w:r>
              <w:rPr>
                <w:b w:val="false"/>
                <w:bCs w:val="false"/>
                <w:sz w:val="19"/>
                <w:szCs w:val="19"/>
              </w:rPr>
              <w:t xml:space="preserve">Réalise</w:t>
            </w:r>
          </w:p>
        </w:tc>
        <w:tc>
          <w:tcPr>
            <w:tcW w:type="dxa" w:w="2100"/>
            <w:tcMar>
              <w:top w:type="dxa" w:w="80"/>
              <w:left w:type="dxa" w:w="100"/>
              <w:bottom w:type="dxa" w:w="80"/>
              <w:right w:type="dxa" w:w="100"/>
            </w:tcMar>
          </w:tcPr>
          <w:p>
            <w:r>
              <w:rPr>
                <w:b w:val="false"/>
                <w:bCs w:val="false"/>
                <w:sz w:val="19"/>
                <w:szCs w:val="19"/>
              </w:rPr>
              <w:t xml:space="preserve">Conseille</w:t>
            </w:r>
          </w:p>
        </w:tc>
      </w:tr>
    </w:tbl>
    <w:p>
      <w:pPr>
        <w:pStyle w:val="Heading2"/>
      </w:pPr>
      <w:r>
        <w:t xml:space="preserve">6. Honoraires</w:t>
      </w:r>
    </w:p>
    <w:p>
      <w:pPr>
        <w:spacing w:after="120"/>
      </w:pPr>
      <w:r>
        <w:t xml:space="preserve">Mode de facturation : </w:t>
      </w:r>
      <w:r>
        <w:rPr>
          <w:i/>
          <w:iCs/>
          <w:color w:val="791CF2"/>
        </w:rPr>
        <w:t xml:space="preserve">[forfait par module / temps passé avec plafond]</w:t>
      </w:r>
      <w:r>
        <w:t xml:space="preserve">. Montant : </w:t>
      </w:r>
      <w:r>
        <w:rPr>
          <w:i/>
          <w:iCs/>
          <w:color w:val="791CF2"/>
        </w:rPr>
        <w:t xml:space="preserve">[à compléter par le cabinet]</w:t>
      </w:r>
      <w:r>
        <w:t xml:space="preserve">. Conditions de révision et d'avenant : </w:t>
      </w:r>
      <w:r>
        <w:rPr>
          <w:i/>
          <w:iCs/>
          <w:color w:val="791CF2"/>
        </w:rPr>
        <w:t xml:space="preserve">[à compléter]</w:t>
      </w:r>
      <w:r>
        <w:t xml:space="preserve">. Modalités de paiement : </w:t>
      </w:r>
      <w:r>
        <w:rPr>
          <w:i/>
          <w:iCs/>
          <w:color w:val="791CF2"/>
        </w:rPr>
        <w:t xml:space="preserve">[à compléter]</w:t>
      </w:r>
      <w:r>
        <w:t xml:space="preserve">.</w:t>
      </w:r>
    </w:p>
    <w:p>
      <w:pPr>
        <w:spacing w:after="120"/>
      </w:pPr>
      <w:r>
        <w:t xml:space="preserve">Frais d'outils ou de plateformes : </w:t>
      </w:r>
      <w:r>
        <w:rPr>
          <w:i/>
          <w:iCs/>
          <w:color w:val="791CF2"/>
        </w:rPr>
        <w:t xml:space="preserve">[inclus / refacturés / à la charge du client]</w:t>
      </w:r>
      <w:r>
        <w:t xml:space="preserve">.</w:t>
      </w:r>
    </w:p>
    <w:p>
      <w:pPr>
        <w:pStyle w:val="Heading2"/>
      </w:pPr>
      <w:r>
        <w:t xml:space="preserve">7. Limites de responsabilité</w:t>
      </w:r>
    </w:p>
    <w:p>
      <w:pPr>
        <w:pStyle w:val="ListParagraph"/>
        <w:numPr>
          <w:ilvl w:val="0"/>
          <w:numId w:val="2"/>
        </w:numPr>
        <w:spacing w:after="60"/>
      </w:pPr>
      <w:r>
        <w:t xml:space="preserve">Les travaux reposent sur les informations transmises par le client ; le cabinet ne procède pas à leur audit.</w:t>
      </w:r>
    </w:p>
    <w:p>
      <w:pPr>
        <w:pStyle w:val="ListParagraph"/>
        <w:numPr>
          <w:ilvl w:val="0"/>
          <w:numId w:val="2"/>
        </w:numPr>
        <w:spacing w:after="60"/>
      </w:pPr>
      <w:r>
        <w:t xml:space="preserve">Les estimations (notamment carbone par ratios monétaires) sont des ordres de grandeur, dont la méthode et l'incertitude sont indiquées dans les livrables.</w:t>
      </w:r>
    </w:p>
    <w:p>
      <w:pPr>
        <w:pStyle w:val="ListParagraph"/>
        <w:numPr>
          <w:ilvl w:val="0"/>
          <w:numId w:val="2"/>
        </w:numPr>
        <w:spacing w:after="60"/>
      </w:pPr>
      <w:r>
        <w:t xml:space="preserve">Le cabinet ne garantit aucun résultat d'évaluation, de notation, de label ou d'attribution de marché.</w:t>
      </w:r>
    </w:p>
    <w:p>
      <w:pPr>
        <w:pStyle w:val="ListParagraph"/>
        <w:numPr>
          <w:ilvl w:val="0"/>
          <w:numId w:val="2"/>
        </w:numPr>
        <w:spacing w:after="60"/>
      </w:pPr>
      <w:r>
        <w:t xml:space="preserve">La réglementation de durabilité évolue (directive Omnibus, transposition française en cours) : les livrables reflètent l'état des textes à leur date.</w:t>
      </w:r>
    </w:p>
    <w:p>
      <w:pPr>
        <w:pStyle w:val="ListParagraph"/>
        <w:numPr>
          <w:ilvl w:val="0"/>
          <w:numId w:val="2"/>
        </w:numPr>
        <w:spacing w:after="60"/>
      </w:pPr>
      <w:r>
        <w:rPr>
          <w:i/>
          <w:iCs/>
          <w:color w:val="791CF2"/>
        </w:rPr>
        <w:t xml:space="preserve">[Plafond de responsabilité et articulation avec l'assurance RC professionnelle : à adapter.]</w:t>
      </w:r>
    </w:p>
    <w:p>
      <w:pPr>
        <w:pStyle w:val="Heading2"/>
      </w:pPr>
      <w:r>
        <w:t xml:space="preserve">8. Indépendance et conflits d'intérêts</w:t>
      </w:r>
    </w:p>
    <w:p>
      <w:pPr>
        <w:spacing w:after="120"/>
      </w:pPr>
      <w:r>
        <w:t xml:space="preserve">Le cabinet qui a participé à l'élaboration des informations de durabilité ne peut pas, pour ces mêmes informations, réaliser une mission de vérification, d'attestation ou de certification. Si le client souhaite une vérification par un tiers, celle-ci est confiée à un professionnel distinct (commissaire aux comptes ou organisme tiers indépendant lorsque la loi l'exige).</w:t>
      </w:r>
    </w:p>
    <w:p>
      <w:pPr>
        <w:spacing w:after="120"/>
      </w:pPr>
      <w:r>
        <w:t xml:space="preserve">Le cabinet déclare </w:t>
      </w:r>
      <w:r>
        <w:rPr>
          <w:i/>
          <w:iCs/>
          <w:color w:val="791CF2"/>
        </w:rPr>
        <w:t xml:space="preserve">[n'exercer / exercer]</w:t>
      </w:r>
      <w:r>
        <w:t xml:space="preserve"> par ailleurs une mission de commissariat aux comptes auprès du client. </w:t>
      </w:r>
      <w:r>
        <w:rPr>
          <w:i/>
          <w:iCs/>
          <w:color w:val="791CF2"/>
        </w:rPr>
        <w:t xml:space="preserve">[En cas de mandat de CAC : vérifier la compatibilité de la mission au regard des règles applicables aux commissaires aux comptes avant signature.]</w:t>
      </w:r>
    </w:p>
    <w:p>
      <w:pPr>
        <w:spacing w:after="120"/>
      </w:pPr>
      <w:r>
        <w:t xml:space="preserve">Recours à des tiers : </w:t>
      </w:r>
      <w:r>
        <w:rPr>
          <w:i/>
          <w:iCs/>
          <w:color w:val="791CF2"/>
        </w:rPr>
        <w:t xml:space="preserve">[le cabinet peut s'appuyer sur un partenaire spécialisé ou un outil, nommé ici, dans le respect du secret professionnel et après accord du client]</w:t>
      </w:r>
      <w:r>
        <w:t xml:space="preserve">.</w:t>
      </w:r>
    </w:p>
    <w:p>
      <w:pPr>
        <w:pStyle w:val="Heading2"/>
      </w:pPr>
      <w:r>
        <w:t xml:space="preserve">9. Confidentialité et données</w:t>
      </w:r>
    </w:p>
    <w:p>
      <w:pPr>
        <w:spacing w:after="120"/>
      </w:pPr>
      <w:r>
        <w:t xml:space="preserve">Les informations transmises sont couvertes par le secret professionnel. Les données personnelles issues de la paie ne sont exploitées que sous forme agrégée pour le calcul des indicateurs.</w:t>
      </w:r>
    </w:p>
    <w:p>
      <w:pPr>
        <w:pStyle w:val="Heading2"/>
      </w:pPr>
      <w:r>
        <w:t xml:space="preserve">10. Durée, résiliation, signature</w:t>
      </w:r>
    </w:p>
    <w:p>
      <w:pPr>
        <w:spacing w:after="120"/>
      </w:pPr>
      <w:r>
        <w:t xml:space="preserve">Durée : </w:t>
      </w:r>
      <w:r>
        <w:rPr>
          <w:i/>
          <w:iCs/>
          <w:color w:val="791CF2"/>
        </w:rPr>
        <w:t xml:space="preserve">[ ]</w:t>
      </w:r>
      <w:r>
        <w:t xml:space="preserve">. Conditions générales d'intervention du cabinet annexées. Fait à </w:t>
      </w:r>
      <w:r>
        <w:rPr>
          <w:i/>
          <w:iCs/>
          <w:color w:val="791CF2"/>
        </w:rPr>
        <w:t xml:space="preserve">[ ]</w:t>
      </w:r>
      <w:r>
        <w:t xml:space="preserve">, le </w:t>
      </w:r>
      <w:r>
        <w:rPr>
          <w:i/>
          <w:iCs/>
          <w:color w:val="791CF2"/>
        </w:rPr>
        <w:t xml:space="preserve">[ ]</w:t>
      </w:r>
      <w:r>
        <w:t xml:space="preserve">.</w:t>
      </w:r>
    </w:p>
    <w:p>
      <w:pPr>
        <w:spacing w:after="120"/>
      </w:pPr>
      <w:r>
        <w:t xml:space="preserve">Pour le cabinet : ____________________          Pour le client : ____________________</w:t>
      </w:r>
    </w:p>
    <w:p>
      <w:r>
        <w:br w:type="page"/>
      </w:r>
    </w:p>
    <w:p>
      <w:pPr>
        <w:pStyle w:val="Heading1"/>
      </w:pPr>
      <w:r>
        <w:t xml:space="preserve">Partie 2. Questionnaire de diagnostic client</w:t>
      </w:r>
    </w:p>
    <w:p>
      <w:pPr>
        <w:spacing w:after="120"/>
      </w:pPr>
      <w:r>
        <w:t xml:space="preserve">À envoyer avant le premier entretien ou à remplir ensemble en 45 minutes. Les réponses servent à choisir la mission (voir le tableau « quelle mission pour quel client » sur rseexpertcomptable.fr) et à dimensionner le temps nécessaire.</w:t>
      </w:r>
    </w:p>
    <w:p>
      <w:pPr>
        <w:spacing w:after="120"/>
      </w:pPr>
      <w:r>
        <w:t xml:space="preserve">Société : </w:t>
      </w:r>
      <w:r>
        <w:rPr>
          <w:i/>
          <w:iCs/>
          <w:color w:val="791CF2"/>
        </w:rPr>
        <w:t xml:space="preserve">[ ]</w:t>
      </w:r>
      <w:r>
        <w:t xml:space="preserve">   Effectif : </w:t>
      </w:r>
      <w:r>
        <w:rPr>
          <w:i/>
          <w:iCs/>
          <w:color w:val="791CF2"/>
        </w:rPr>
        <w:t xml:space="preserve">[ ]</w:t>
      </w:r>
      <w:r>
        <w:t xml:space="preserve">   Secteur : </w:t>
      </w:r>
      <w:r>
        <w:rPr>
          <w:i/>
          <w:iCs/>
          <w:color w:val="791CF2"/>
        </w:rPr>
        <w:t xml:space="preserve">[ ]</w:t>
      </w:r>
      <w:r>
        <w:t xml:space="preserve">   Date : </w:t>
      </w:r>
      <w:r>
        <w:rPr>
          <w:i/>
          <w:iCs/>
          <w:color w:val="791CF2"/>
        </w:rPr>
        <w:t xml:space="preserve">[ ]</w:t>
      </w:r>
    </w:p>
    <w:p>
      <w:pPr>
        <w:pStyle w:val="Heading2"/>
      </w:pPr>
      <w:r>
        <w:t xml:space="preserve">A. Contexte et demandes externes</w:t>
      </w:r>
    </w:p>
    <w:p>
      <w:pPr>
        <w:spacing w:after="40"/>
      </w:pPr>
      <w:r>
        <w:rPr>
          <w:b/>
          <w:bCs/>
        </w:rPr>
        <w:t xml:space="preserve">1. </w:t>
      </w:r>
      <w:r>
        <w:t xml:space="preserve">Un client ou donneur d'ordres vous a-t-il envoyé un questionnaire RSE, une demande de données ESG ou une charte fournisseur au cours des 12 derniers mois ? Lesquels ?</w:t>
      </w:r>
    </w:p>
    <w:p>
      <w:pPr>
        <w:pBdr>
          <w:bottom w:val="dotted" w:color="999999" w:sz="4" w:space="6"/>
        </w:pBdr>
        <w:spacing w:after="140"/>
      </w:pPr>
      <w:r>
        <w:rPr>
          <w:color w:val="777777"/>
          <w:sz w:val="18"/>
          <w:szCs w:val="18"/>
        </w:rPr>
        <w:t xml:space="preserve">Réponse : </w:t>
      </w:r>
    </w:p>
    <w:p>
      <w:pPr>
        <w:spacing w:after="40"/>
      </w:pPr>
      <w:r>
        <w:rPr>
          <w:b/>
          <w:bCs/>
        </w:rPr>
        <w:t xml:space="preserve">2. </w:t>
      </w:r>
      <w:r>
        <w:t xml:space="preserve">Êtes-vous évalué sur une plateforme de notation RSE (EcoVadis ou autre) ou vous l'a-t-on demandé ?</w:t>
      </w:r>
    </w:p>
    <w:p>
      <w:pPr>
        <w:pBdr>
          <w:bottom w:val="dotted" w:color="999999" w:sz="4" w:space="6"/>
        </w:pBdr>
        <w:spacing w:after="140"/>
      </w:pPr>
      <w:r>
        <w:rPr>
          <w:color w:val="777777"/>
          <w:sz w:val="18"/>
          <w:szCs w:val="18"/>
        </w:rPr>
        <w:t xml:space="preserve">Réponse : </w:t>
      </w:r>
    </w:p>
    <w:p>
      <w:pPr>
        <w:spacing w:after="40"/>
      </w:pPr>
      <w:r>
        <w:rPr>
          <w:b/>
          <w:bCs/>
        </w:rPr>
        <w:t xml:space="preserve">3. </w:t>
      </w:r>
      <w:r>
        <w:t xml:space="preserve">Répondez-vous à des marchés publics ? Combien par an, et la note environnementale vous a-t-elle déjà fait perdre des points ?</w:t>
      </w:r>
    </w:p>
    <w:p>
      <w:pPr>
        <w:pBdr>
          <w:bottom w:val="dotted" w:color="999999" w:sz="4" w:space="6"/>
        </w:pBdr>
        <w:spacing w:after="140"/>
      </w:pPr>
      <w:r>
        <w:rPr>
          <w:color w:val="777777"/>
          <w:sz w:val="18"/>
          <w:szCs w:val="18"/>
        </w:rPr>
        <w:t xml:space="preserve">Réponse : </w:t>
      </w:r>
    </w:p>
    <w:p>
      <w:pPr>
        <w:spacing w:after="40"/>
      </w:pPr>
      <w:r>
        <w:rPr>
          <w:b/>
          <w:bCs/>
        </w:rPr>
        <w:t xml:space="preserve">4. </w:t>
      </w:r>
      <w:r>
        <w:t xml:space="preserve">Votre banque ou un investisseur vous a-t-il demandé des indicateurs ESG, ou proposé un prêt lié à des objectifs de durabilité ?</w:t>
      </w:r>
    </w:p>
    <w:p>
      <w:pPr>
        <w:pBdr>
          <w:bottom w:val="dotted" w:color="999999" w:sz="4" w:space="6"/>
        </w:pBdr>
        <w:spacing w:after="140"/>
      </w:pPr>
      <w:r>
        <w:rPr>
          <w:color w:val="777777"/>
          <w:sz w:val="18"/>
          <w:szCs w:val="18"/>
        </w:rPr>
        <w:t xml:space="preserve">Réponse : </w:t>
      </w:r>
    </w:p>
    <w:p>
      <w:pPr>
        <w:spacing w:after="40"/>
      </w:pPr>
      <w:r>
        <w:rPr>
          <w:b/>
          <w:bCs/>
        </w:rPr>
        <w:t xml:space="preserve">5. </w:t>
      </w:r>
      <w:r>
        <w:t xml:space="preserve">Quelles échéances connaissez-vous (date de réponse à un client, appel d'offres, renouvellement de contrat, audit) ?</w:t>
      </w:r>
    </w:p>
    <w:p>
      <w:pPr>
        <w:pBdr>
          <w:bottom w:val="dotted" w:color="999999" w:sz="4" w:space="6"/>
        </w:pBdr>
        <w:spacing w:after="140"/>
      </w:pPr>
      <w:r>
        <w:rPr>
          <w:color w:val="777777"/>
          <w:sz w:val="18"/>
          <w:szCs w:val="18"/>
        </w:rPr>
        <w:t xml:space="preserve">Réponse : </w:t>
      </w:r>
    </w:p>
    <w:p>
      <w:pPr>
        <w:pStyle w:val="Heading2"/>
      </w:pPr>
      <w:r>
        <w:t xml:space="preserve">B. Gouvernance et organisation</w:t>
      </w:r>
    </w:p>
    <w:p>
      <w:pPr>
        <w:spacing w:after="40"/>
      </w:pPr>
      <w:r>
        <w:rPr>
          <w:b/>
          <w:bCs/>
        </w:rPr>
        <w:t xml:space="preserve">6. </w:t>
      </w:r>
      <w:r>
        <w:t xml:space="preserve">Qui porte le sujet RSE aujourd'hui (dirigeant, RAF, QSE, RH, personne) et combien de temps peut-il y consacrer ?</w:t>
      </w:r>
    </w:p>
    <w:p>
      <w:pPr>
        <w:pBdr>
          <w:bottom w:val="dotted" w:color="999999" w:sz="4" w:space="6"/>
        </w:pBdr>
        <w:spacing w:after="140"/>
      </w:pPr>
      <w:r>
        <w:rPr>
          <w:color w:val="777777"/>
          <w:sz w:val="18"/>
          <w:szCs w:val="18"/>
        </w:rPr>
        <w:t xml:space="preserve">Réponse : </w:t>
      </w:r>
    </w:p>
    <w:p>
      <w:pPr>
        <w:spacing w:after="40"/>
      </w:pPr>
      <w:r>
        <w:rPr>
          <w:b/>
          <w:bCs/>
        </w:rPr>
        <w:t xml:space="preserve">7. </w:t>
      </w:r>
      <w:r>
        <w:t xml:space="preserve">Avez-vous des engagements écrits (charte, politique environnementale, code de conduite, raison d'être) ?</w:t>
      </w:r>
    </w:p>
    <w:p>
      <w:pPr>
        <w:pBdr>
          <w:bottom w:val="dotted" w:color="999999" w:sz="4" w:space="6"/>
        </w:pBdr>
        <w:spacing w:after="140"/>
      </w:pPr>
      <w:r>
        <w:rPr>
          <w:color w:val="777777"/>
          <w:sz w:val="18"/>
          <w:szCs w:val="18"/>
        </w:rPr>
        <w:t xml:space="preserve">Réponse : </w:t>
      </w:r>
    </w:p>
    <w:p>
      <w:pPr>
        <w:spacing w:after="40"/>
      </w:pPr>
      <w:r>
        <w:rPr>
          <w:b/>
          <w:bCs/>
        </w:rPr>
        <w:t xml:space="preserve">8. </w:t>
      </w:r>
      <w:r>
        <w:t xml:space="preserve">Êtes-vous certifié ou labellisé (ISO 9001, ISO 14001, ISO 45001, label RSE) ou en projet ?</w:t>
      </w:r>
    </w:p>
    <w:p>
      <w:pPr>
        <w:pBdr>
          <w:bottom w:val="dotted" w:color="999999" w:sz="4" w:space="6"/>
        </w:pBdr>
        <w:spacing w:after="140"/>
      </w:pPr>
      <w:r>
        <w:rPr>
          <w:color w:val="777777"/>
          <w:sz w:val="18"/>
          <w:szCs w:val="18"/>
        </w:rPr>
        <w:t xml:space="preserve">Réponse : </w:t>
      </w:r>
    </w:p>
    <w:p>
      <w:pPr>
        <w:spacing w:after="40"/>
      </w:pPr>
      <w:r>
        <w:rPr>
          <w:b/>
          <w:bCs/>
        </w:rPr>
        <w:t xml:space="preserve">9. </w:t>
      </w:r>
      <w:r>
        <w:t xml:space="preserve">Avez-vous identifié les sujets environnementaux et sociaux les plus importants pour votre activité ? Comment ?</w:t>
      </w:r>
    </w:p>
    <w:p>
      <w:pPr>
        <w:pBdr>
          <w:bottom w:val="dotted" w:color="999999" w:sz="4" w:space="6"/>
        </w:pBdr>
        <w:spacing w:after="140"/>
      </w:pPr>
      <w:r>
        <w:rPr>
          <w:color w:val="777777"/>
          <w:sz w:val="18"/>
          <w:szCs w:val="18"/>
        </w:rPr>
        <w:t xml:space="preserve">Réponse : </w:t>
      </w:r>
    </w:p>
    <w:p>
      <w:pPr>
        <w:pStyle w:val="Heading2"/>
      </w:pPr>
      <w:r>
        <w:t xml:space="preserve">C. Environnement</w:t>
      </w:r>
    </w:p>
    <w:p>
      <w:pPr>
        <w:spacing w:after="40"/>
      </w:pPr>
      <w:r>
        <w:rPr>
          <w:b/>
          <w:bCs/>
        </w:rPr>
        <w:t xml:space="preserve">10. </w:t>
      </w:r>
      <w:r>
        <w:t xml:space="preserve">Connaissez-vous vos consommations d'énergie (électricité, gaz, carburants) en unités physiques (kWh, litres) et pas seulement en euros ?</w:t>
      </w:r>
    </w:p>
    <w:p>
      <w:pPr>
        <w:pBdr>
          <w:bottom w:val="dotted" w:color="999999" w:sz="4" w:space="6"/>
        </w:pBdr>
        <w:spacing w:after="140"/>
      </w:pPr>
      <w:r>
        <w:rPr>
          <w:color w:val="777777"/>
          <w:sz w:val="18"/>
          <w:szCs w:val="18"/>
        </w:rPr>
        <w:t xml:space="preserve">Réponse : </w:t>
      </w:r>
    </w:p>
    <w:p>
      <w:pPr>
        <w:spacing w:after="40"/>
      </w:pPr>
      <w:r>
        <w:rPr>
          <w:b/>
          <w:bCs/>
        </w:rPr>
        <w:t xml:space="preserve">11. </w:t>
      </w:r>
      <w:r>
        <w:t xml:space="preserve">Avez-vous déjà réalisé un bilan carbone ou un bilan des émissions de gaz à effet de serre ? Sur quel périmètre et quelle année ?</w:t>
      </w:r>
    </w:p>
    <w:p>
      <w:pPr>
        <w:pBdr>
          <w:bottom w:val="dotted" w:color="999999" w:sz="4" w:space="6"/>
        </w:pBdr>
        <w:spacing w:after="140"/>
      </w:pPr>
      <w:r>
        <w:rPr>
          <w:color w:val="777777"/>
          <w:sz w:val="18"/>
          <w:szCs w:val="18"/>
        </w:rPr>
        <w:t xml:space="preserve">Réponse : </w:t>
      </w:r>
    </w:p>
    <w:p>
      <w:pPr>
        <w:spacing w:after="40"/>
      </w:pPr>
      <w:r>
        <w:rPr>
          <w:b/>
          <w:bCs/>
        </w:rPr>
        <w:t xml:space="preserve">12. </w:t>
      </w:r>
      <w:r>
        <w:t xml:space="preserve">Quels sont vos principaux postes d'achats et de déplacements (flotte, déplacements professionnels, transport de marchandises) ?</w:t>
      </w:r>
    </w:p>
    <w:p>
      <w:pPr>
        <w:pBdr>
          <w:bottom w:val="dotted" w:color="999999" w:sz="4" w:space="6"/>
        </w:pBdr>
        <w:spacing w:after="140"/>
      </w:pPr>
      <w:r>
        <w:rPr>
          <w:color w:val="777777"/>
          <w:sz w:val="18"/>
          <w:szCs w:val="18"/>
        </w:rPr>
        <w:t xml:space="preserve">Réponse : </w:t>
      </w:r>
    </w:p>
    <w:p>
      <w:pPr>
        <w:spacing w:after="40"/>
      </w:pPr>
      <w:r>
        <w:rPr>
          <w:b/>
          <w:bCs/>
        </w:rPr>
        <w:t xml:space="preserve">13. </w:t>
      </w:r>
      <w:r>
        <w:t xml:space="preserve">Suivez-vous vos déchets (volumes, filières, prestataires) et votre consommation d'eau ?</w:t>
      </w:r>
    </w:p>
    <w:p>
      <w:pPr>
        <w:pBdr>
          <w:bottom w:val="dotted" w:color="999999" w:sz="4" w:space="6"/>
        </w:pBdr>
        <w:spacing w:after="140"/>
      </w:pPr>
      <w:r>
        <w:rPr>
          <w:color w:val="777777"/>
          <w:sz w:val="18"/>
          <w:szCs w:val="18"/>
        </w:rPr>
        <w:t xml:space="preserve">Réponse : </w:t>
      </w:r>
    </w:p>
    <w:p>
      <w:pPr>
        <w:spacing w:after="40"/>
      </w:pPr>
      <w:r>
        <w:rPr>
          <w:b/>
          <w:bCs/>
        </w:rPr>
        <w:t xml:space="preserve">14. </w:t>
      </w:r>
      <w:r>
        <w:t xml:space="preserve">Êtes-vous soumis à une filière de responsabilité élargie du producteur (REP) pour les produits ou emballages que vous mettez sur le marché ?</w:t>
      </w:r>
    </w:p>
    <w:p>
      <w:pPr>
        <w:pBdr>
          <w:bottom w:val="dotted" w:color="999999" w:sz="4" w:space="6"/>
        </w:pBdr>
        <w:spacing w:after="140"/>
      </w:pPr>
      <w:r>
        <w:rPr>
          <w:color w:val="777777"/>
          <w:sz w:val="18"/>
          <w:szCs w:val="18"/>
        </w:rPr>
        <w:t xml:space="preserve">Réponse : </w:t>
      </w:r>
    </w:p>
    <w:p>
      <w:pPr>
        <w:pStyle w:val="Heading2"/>
      </w:pPr>
      <w:r>
        <w:t xml:space="preserve">D. Social</w:t>
      </w:r>
    </w:p>
    <w:p>
      <w:pPr>
        <w:spacing w:after="40"/>
      </w:pPr>
      <w:r>
        <w:rPr>
          <w:b/>
          <w:bCs/>
        </w:rPr>
        <w:t xml:space="preserve">15. </w:t>
      </w:r>
      <w:r>
        <w:t xml:space="preserve">Les données de paie (DSN) permettent-elles d'extraire facilement effectif, types de contrats, répartition femmes-hommes, entrées et sorties ?</w:t>
      </w:r>
    </w:p>
    <w:p>
      <w:pPr>
        <w:pBdr>
          <w:bottom w:val="dotted" w:color="999999" w:sz="4" w:space="6"/>
        </w:pBdr>
        <w:spacing w:after="140"/>
      </w:pPr>
      <w:r>
        <w:rPr>
          <w:color w:val="777777"/>
          <w:sz w:val="18"/>
          <w:szCs w:val="18"/>
        </w:rPr>
        <w:t xml:space="preserve">Réponse : </w:t>
      </w:r>
    </w:p>
    <w:p>
      <w:pPr>
        <w:spacing w:after="40"/>
      </w:pPr>
      <w:r>
        <w:rPr>
          <w:b/>
          <w:bCs/>
        </w:rPr>
        <w:t xml:space="preserve">16. </w:t>
      </w:r>
      <w:r>
        <w:t xml:space="preserve">Suivez-vous les accidents du travail, l'absentéisme et les heures de formation ?</w:t>
      </w:r>
    </w:p>
    <w:p>
      <w:pPr>
        <w:pBdr>
          <w:bottom w:val="dotted" w:color="999999" w:sz="4" w:space="6"/>
        </w:pBdr>
        <w:spacing w:after="140"/>
      </w:pPr>
      <w:r>
        <w:rPr>
          <w:color w:val="777777"/>
          <w:sz w:val="18"/>
          <w:szCs w:val="18"/>
        </w:rPr>
        <w:t xml:space="preserve">Réponse : </w:t>
      </w:r>
    </w:p>
    <w:p>
      <w:pPr>
        <w:spacing w:after="40"/>
      </w:pPr>
      <w:r>
        <w:rPr>
          <w:b/>
          <w:bCs/>
        </w:rPr>
        <w:t xml:space="preserve">17. </w:t>
      </w:r>
      <w:r>
        <w:t xml:space="preserve">Avez-vous un document unique d'évaluation des risques professionnels à jour ?</w:t>
      </w:r>
    </w:p>
    <w:p>
      <w:pPr>
        <w:pBdr>
          <w:bottom w:val="dotted" w:color="999999" w:sz="4" w:space="6"/>
        </w:pBdr>
        <w:spacing w:after="140"/>
      </w:pPr>
      <w:r>
        <w:rPr>
          <w:color w:val="777777"/>
          <w:sz w:val="18"/>
          <w:szCs w:val="18"/>
        </w:rPr>
        <w:t xml:space="preserve">Réponse : </w:t>
      </w:r>
    </w:p>
    <w:p>
      <w:pPr>
        <w:spacing w:after="40"/>
      </w:pPr>
      <w:r>
        <w:rPr>
          <w:b/>
          <w:bCs/>
        </w:rPr>
        <w:t xml:space="preserve">18. </w:t>
      </w:r>
      <w:r>
        <w:t xml:space="preserve">Quelles pratiques avez-vous en matière d'égalité, de rémunération, de dialogue social et de qualité de vie au travail ?</w:t>
      </w:r>
    </w:p>
    <w:p>
      <w:pPr>
        <w:pBdr>
          <w:bottom w:val="dotted" w:color="999999" w:sz="4" w:space="6"/>
        </w:pBdr>
        <w:spacing w:after="140"/>
      </w:pPr>
      <w:r>
        <w:rPr>
          <w:color w:val="777777"/>
          <w:sz w:val="18"/>
          <w:szCs w:val="18"/>
        </w:rPr>
        <w:t xml:space="preserve">Réponse : </w:t>
      </w:r>
    </w:p>
    <w:p>
      <w:pPr>
        <w:pStyle w:val="Heading2"/>
      </w:pPr>
      <w:r>
        <w:t xml:space="preserve">E. Conduite des affaires et chaîne de valeur</w:t>
      </w:r>
    </w:p>
    <w:p>
      <w:pPr>
        <w:spacing w:after="40"/>
      </w:pPr>
      <w:r>
        <w:rPr>
          <w:b/>
          <w:bCs/>
        </w:rPr>
        <w:t xml:space="preserve">19. </w:t>
      </w:r>
      <w:r>
        <w:t xml:space="preserve">Avez-vous des règles écrites sur la lutte contre la corruption, les conflits d'intérêts et les cadeaux ?</w:t>
      </w:r>
    </w:p>
    <w:p>
      <w:pPr>
        <w:pBdr>
          <w:bottom w:val="dotted" w:color="999999" w:sz="4" w:space="6"/>
        </w:pBdr>
        <w:spacing w:after="140"/>
      </w:pPr>
      <w:r>
        <w:rPr>
          <w:color w:val="777777"/>
          <w:sz w:val="18"/>
          <w:szCs w:val="18"/>
        </w:rPr>
        <w:t xml:space="preserve">Réponse : </w:t>
      </w:r>
    </w:p>
    <w:p>
      <w:pPr>
        <w:spacing w:after="40"/>
      </w:pPr>
      <w:r>
        <w:rPr>
          <w:b/>
          <w:bCs/>
        </w:rPr>
        <w:t xml:space="preserve">20. </w:t>
      </w:r>
      <w:r>
        <w:t xml:space="preserve">Évaluez-vous vos propres fournisseurs sur des critères sociaux ou environnementaux ?</w:t>
      </w:r>
    </w:p>
    <w:p>
      <w:pPr>
        <w:pBdr>
          <w:bottom w:val="dotted" w:color="999999" w:sz="4" w:space="6"/>
        </w:pBdr>
        <w:spacing w:after="140"/>
      </w:pPr>
      <w:r>
        <w:rPr>
          <w:color w:val="777777"/>
          <w:sz w:val="18"/>
          <w:szCs w:val="18"/>
        </w:rPr>
        <w:t xml:space="preserve">Réponse : </w:t>
      </w:r>
    </w:p>
    <w:p>
      <w:pPr>
        <w:spacing w:after="40"/>
      </w:pPr>
      <w:r>
        <w:rPr>
          <w:b/>
          <w:bCs/>
        </w:rPr>
        <w:t xml:space="preserve">21. </w:t>
      </w:r>
      <w:r>
        <w:t xml:space="preserve">Avez-vous eu des litiges, sanctions ou incidents environnementaux ou sociaux ces trois dernières années ?</w:t>
      </w:r>
    </w:p>
    <w:p>
      <w:pPr>
        <w:pBdr>
          <w:bottom w:val="dotted" w:color="999999" w:sz="4" w:space="6"/>
        </w:pBdr>
        <w:spacing w:after="140"/>
      </w:pPr>
      <w:r>
        <w:rPr>
          <w:color w:val="777777"/>
          <w:sz w:val="18"/>
          <w:szCs w:val="18"/>
        </w:rPr>
        <w:t xml:space="preserve">Réponse : </w:t>
      </w:r>
    </w:p>
    <w:p>
      <w:pPr>
        <w:pStyle w:val="Heading2"/>
      </w:pPr>
      <w:r>
        <w:t xml:space="preserve">F. Attentes vis-à-vis du cabinet</w:t>
      </w:r>
    </w:p>
    <w:p>
      <w:pPr>
        <w:spacing w:after="40"/>
      </w:pPr>
      <w:r>
        <w:rPr>
          <w:b/>
          <w:bCs/>
        </w:rPr>
        <w:t xml:space="preserve">22. </w:t>
      </w:r>
      <w:r>
        <w:t xml:space="preserve">Qu'attendez-vous en priorité : répondre à un client, publier un rapport volontaire (VSME), mesurer votre empreinte carbone, préparer une évaluation, structurer une démarche ?</w:t>
      </w:r>
    </w:p>
    <w:p>
      <w:pPr>
        <w:pBdr>
          <w:bottom w:val="dotted" w:color="999999" w:sz="4" w:space="6"/>
        </w:pBdr>
        <w:spacing w:after="140"/>
      </w:pPr>
      <w:r>
        <w:rPr>
          <w:color w:val="777777"/>
          <w:sz w:val="18"/>
          <w:szCs w:val="18"/>
        </w:rPr>
        <w:t xml:space="preserve">Réponse : </w:t>
      </w:r>
    </w:p>
    <w:p>
      <w:pPr>
        <w:spacing w:after="40"/>
      </w:pPr>
      <w:r>
        <w:rPr>
          <w:b/>
          <w:bCs/>
        </w:rPr>
        <w:t xml:space="preserve">23. </w:t>
      </w:r>
      <w:r>
        <w:t xml:space="preserve">Quel niveau de travail souhaitez-vous faire en interne et quel niveau confier au cabinet ?</w:t>
      </w:r>
    </w:p>
    <w:p>
      <w:pPr>
        <w:pBdr>
          <w:bottom w:val="dotted" w:color="999999" w:sz="4" w:space="6"/>
        </w:pBdr>
        <w:spacing w:after="140"/>
      </w:pPr>
      <w:r>
        <w:rPr>
          <w:color w:val="777777"/>
          <w:sz w:val="18"/>
          <w:szCs w:val="18"/>
        </w:rPr>
        <w:t xml:space="preserve">Réponse : </w:t>
      </w:r>
    </w:p>
    <w:p>
      <w:pPr>
        <w:spacing w:after="40"/>
      </w:pPr>
      <w:r>
        <w:rPr>
          <w:b/>
          <w:bCs/>
        </w:rPr>
        <w:t xml:space="preserve">24. </w:t>
      </w:r>
      <w:r>
        <w:t xml:space="preserve">Souhaitez-vous refaire l'exercice chaque année, et avec quel outil ?</w:t>
      </w:r>
    </w:p>
    <w:p>
      <w:pPr>
        <w:pBdr>
          <w:bottom w:val="dotted" w:color="999999" w:sz="4" w:space="6"/>
        </w:pBdr>
        <w:spacing w:after="140"/>
      </w:pPr>
      <w:r>
        <w:rPr>
          <w:color w:val="777777"/>
          <w:sz w:val="18"/>
          <w:szCs w:val="18"/>
        </w:rPr>
        <w:t xml:space="preserve">Réponse : </w:t>
      </w:r>
    </w:p>
    <w:p>
      <w:pPr>
        <w:pStyle w:val="Heading2"/>
      </w:pPr>
      <w:r>
        <w:t xml:space="preserve">Lecture rapide des réponses</w:t>
      </w:r>
    </w:p>
    <w:p>
      <w:pPr>
        <w:pStyle w:val="ListParagraph"/>
        <w:numPr>
          <w:ilvl w:val="0"/>
          <w:numId w:val="2"/>
        </w:numPr>
        <w:spacing w:after="60"/>
      </w:pPr>
      <w:r>
        <w:t xml:space="preserve">Demande externe datée (A1, A2, A5) : priorité à la réponse au client ou à l'évaluation, puis au rapport volontaire réutilisable.</w:t>
      </w:r>
    </w:p>
    <w:p>
      <w:pPr>
        <w:pStyle w:val="ListParagraph"/>
        <w:numPr>
          <w:ilvl w:val="0"/>
          <w:numId w:val="2"/>
        </w:numPr>
        <w:spacing w:after="60"/>
      </w:pPr>
      <w:r>
        <w:t xml:space="preserve">Marchés publics (A3) : note environnementale type et indicateurs suivis.</w:t>
      </w:r>
    </w:p>
    <w:p>
      <w:pPr>
        <w:pStyle w:val="ListParagraph"/>
        <w:numPr>
          <w:ilvl w:val="0"/>
          <w:numId w:val="2"/>
        </w:numPr>
        <w:spacing w:after="60"/>
      </w:pPr>
      <w:r>
        <w:t xml:space="preserve">Aucune donnée physique (C1, C2) : prévoir une première estimation carbone et un plan de collecte.</w:t>
      </w:r>
    </w:p>
    <w:p>
      <w:pPr>
        <w:pStyle w:val="ListParagraph"/>
        <w:numPr>
          <w:ilvl w:val="0"/>
          <w:numId w:val="2"/>
        </w:numPr>
        <w:spacing w:after="60"/>
      </w:pPr>
      <w:r>
        <w:t xml:space="preserve">Pas de pilote interne (B1) : limiter le périmètre et prévoir plus de temps cabinet.</w:t>
      </w:r>
    </w:p>
    <w:p>
      <w:pPr>
        <w:pStyle w:val="ListParagraph"/>
        <w:numPr>
          <w:ilvl w:val="0"/>
          <w:numId w:val="2"/>
        </w:numPr>
        <w:spacing w:after="60"/>
      </w:pPr>
      <w:r>
        <w:t xml:space="preserve">Exercice à refaire chaque année (F3) : choisir un outil qui conserve les données et les preuves.</w:t>
      </w:r>
    </w:p>
    <w:p>
      <w:pPr>
        <w:spacing w:after="120"/>
      </w:pPr>
      <w:r>
        <w:rPr>
          <w:color w:val="777777"/>
          <w:sz w:val="17"/>
          <w:szCs w:val="17"/>
        </w:rPr>
        <w:t xml:space="preserve">Document proposé par rseexpertcomptable.fr, site édité par Blune SAS pour Intersektion. Trame indicative, à adapter avec le cadre déontologique de l'Ordre des experts-comptables.</w:t>
      </w:r>
    </w:p>
    <w:sectPr>
      <w:footerReference w:type="default" r:id="rId6"/>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Kit mission RSE · rseexpertcomptable.fr by Intersektion · trame à adapter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lvl w:ilvl="1" w:tentative="1">
      <w:start w:val="1"/>
      <w:numFmt w:val="bullet"/>
      <w:lvlText w:val="–"/>
      <w:lvlJc w:val="left"/>
      <w:pPr>
        <w:ind w:left="108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00"/>
      <w:outlineLvl w:val="0"/>
    </w:pPr>
    <w:rPr>
      <w:b/>
      <w:bCs/>
      <w:color w:val="131A53"/>
      <w:sz w:val="32"/>
      <w:szCs w:val="32"/>
    </w:rPr>
  </w:style>
  <w:style w:type="paragraph" w:styleId="Heading2">
    <w:name w:val="Heading 2"/>
    <w:basedOn w:val="Normal"/>
    <w:next w:val="Normal"/>
    <w:qFormat/>
    <w:pPr>
      <w:spacing w:after="120" w:before="240"/>
      <w:outlineLvl w:val="1"/>
    </w:pPr>
    <w:rPr>
      <w:b/>
      <w:bCs/>
      <w:color w:val="791CF2"/>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mission RSE expert-comptable</dc:title>
  <dc:creator>Intersektion</dc:creator>
  <cp:lastModifiedBy>Un-named</cp:lastModifiedBy>
  <cp:revision>1</cp:revision>
  <dcterms:created xsi:type="dcterms:W3CDTF">2026-10-30T14:14:29.559Z</dcterms:created>
  <dcterms:modified xsi:type="dcterms:W3CDTF">2026-10-30T14:14:29.559Z</dcterms:modified>
</cp:coreProperties>
</file>

<file path=docProps/custom.xml><?xml version="1.0" encoding="utf-8"?>
<Properties xmlns="http://schemas.openxmlformats.org/officeDocument/2006/custom-properties" xmlns:vt="http://schemas.openxmlformats.org/officeDocument/2006/docPropsVTypes"/>
</file>